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b/>
          <w:bCs/>
          <w:color w:val="C00000"/>
          <w:sz w:val="24"/>
          <w:szCs w:val="24"/>
          <w:lang w:eastAsia="uk-UA"/>
        </w:rPr>
      </w:pPr>
      <w:r w:rsidRPr="00913D56">
        <w:rPr>
          <w:rFonts w:ascii="Arial Black" w:eastAsia="Times New Roman" w:hAnsi="Arial Black" w:cs="Arial Black"/>
          <w:b/>
          <w:bCs/>
          <w:color w:val="C00000"/>
          <w:sz w:val="52"/>
          <w:szCs w:val="52"/>
          <w:lang w:eastAsia="uk-UA"/>
        </w:rPr>
        <w:t>ПЛАН РОБОТИ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</w:pPr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>методичного об’єднання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</w:pPr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>вчителів початкових  класів</w:t>
      </w:r>
    </w:p>
    <w:p w:rsidR="00913D56" w:rsidRPr="00913D56" w:rsidRDefault="00913D56" w:rsidP="00913D56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</w:pPr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 xml:space="preserve">комунального закладу загальної середньої освіти " </w:t>
      </w:r>
      <w:proofErr w:type="spellStart"/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>Одерадівський</w:t>
      </w:r>
      <w:proofErr w:type="spellEnd"/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 xml:space="preserve"> ліцей № 37 Луцької міської ради"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</w:pPr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 xml:space="preserve">на 2023  - 2024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</w:pPr>
      <w:r w:rsidRPr="00913D56">
        <w:rPr>
          <w:rFonts w:ascii="Monotype Corsiva" w:eastAsia="Times New Roman" w:hAnsi="Monotype Corsiva" w:cs="Monotype Corsiva"/>
          <w:b/>
          <w:bCs/>
          <w:color w:val="002060"/>
          <w:sz w:val="72"/>
          <w:szCs w:val="72"/>
          <w:lang w:eastAsia="uk-UA"/>
        </w:rPr>
        <w:t>навчальний рік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48"/>
          <w:szCs w:val="48"/>
          <w:lang w:eastAsia="uk-UA"/>
        </w:rPr>
        <w:t> 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uk-UA"/>
        </w:rPr>
        <w:t>                                  </w:t>
      </w:r>
      <w:r w:rsidRPr="00913D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Керівник МО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                            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Винарчик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Лариса Миколаївна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48"/>
          <w:szCs w:val="48"/>
          <w:lang w:eastAsia="uk-UA"/>
        </w:rPr>
        <w:t>                          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</w:pPr>
      <w:r w:rsidRPr="00913D56"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  <w:lastRenderedPageBreak/>
        <w:t xml:space="preserve">Науково – методична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</w:pPr>
      <w:r w:rsidRPr="00913D56">
        <w:rPr>
          <w:rFonts w:ascii="Arial Black" w:eastAsia="Times New Roman" w:hAnsi="Arial Black" w:cs="Arial Black"/>
          <w:color w:val="0070C0"/>
          <w:sz w:val="44"/>
          <w:szCs w:val="44"/>
          <w:lang w:eastAsia="uk-UA"/>
        </w:rPr>
        <w:t>тема школи: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uk-UA"/>
        </w:rPr>
        <w:t xml:space="preserve">«Формування життєвих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uk-UA"/>
        </w:rPr>
        <w:t>компетентностей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uk-UA"/>
        </w:rPr>
        <w:t xml:space="preserve"> учнів через реалізацію в освітньому процесі інноваційних педагогічних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uk-UA"/>
        </w:rPr>
        <w:t>проєктів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uk-UA"/>
        </w:rPr>
        <w:t>"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color w:val="C00000"/>
          <w:sz w:val="32"/>
          <w:szCs w:val="32"/>
          <w:lang w:eastAsia="uk-UA"/>
        </w:rPr>
        <w:t>    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13D5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13D56">
        <w:rPr>
          <w:rFonts w:ascii="Arial Black" w:eastAsia="Times New Roman" w:hAnsi="Arial Black" w:cs="Arial Black"/>
          <w:color w:val="00B050"/>
          <w:sz w:val="44"/>
          <w:szCs w:val="44"/>
          <w:lang w:eastAsia="uk-UA"/>
        </w:rPr>
        <w:t>Науково–методична тема,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B050"/>
          <w:sz w:val="44"/>
          <w:szCs w:val="44"/>
          <w:lang w:eastAsia="uk-UA"/>
        </w:rPr>
      </w:pPr>
      <w:r w:rsidRPr="00913D56">
        <w:rPr>
          <w:rFonts w:ascii="Arial Black" w:eastAsia="Times New Roman" w:hAnsi="Arial Black" w:cs="Arial Black"/>
          <w:color w:val="00B050"/>
          <w:sz w:val="44"/>
          <w:szCs w:val="44"/>
          <w:lang w:eastAsia="uk-UA"/>
        </w:rPr>
        <w:t>над якою працюють члени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 Black"/>
          <w:color w:val="00B050"/>
          <w:sz w:val="44"/>
          <w:szCs w:val="44"/>
          <w:lang w:eastAsia="uk-UA"/>
        </w:rPr>
      </w:pPr>
      <w:r w:rsidRPr="00913D56">
        <w:rPr>
          <w:rFonts w:ascii="Arial Black" w:eastAsia="Times New Roman" w:hAnsi="Arial Black" w:cs="Arial Black"/>
          <w:color w:val="00B050"/>
          <w:sz w:val="44"/>
          <w:szCs w:val="44"/>
          <w:lang w:eastAsia="uk-UA"/>
        </w:rPr>
        <w:t xml:space="preserve"> МО вчителів початкових класів:</w:t>
      </w:r>
    </w:p>
    <w:p w:rsidR="00913D56" w:rsidRPr="00913D56" w:rsidRDefault="00913D56" w:rsidP="00913D5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uk-UA"/>
        </w:rPr>
        <w:t xml:space="preserve">«ФОРМУВАННЯ ПАТРІОТИЧНИХ </w:t>
      </w:r>
    </w:p>
    <w:p w:rsidR="00913D56" w:rsidRPr="00913D56" w:rsidRDefault="00913D56" w:rsidP="00913D5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uk-UA"/>
        </w:rPr>
        <w:t>І ГРОМАДЯНСЬКИХ ЯКОСТЕЙ ОСОБИСТОСТІ УЧНЯ»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Black" w:eastAsia="Times New Roman" w:hAnsi="Arial Black" w:cs="Arial Black"/>
          <w:b/>
          <w:bCs/>
          <w:color w:val="1F3864"/>
          <w:sz w:val="44"/>
          <w:szCs w:val="44"/>
          <w:lang w:eastAsia="uk-UA"/>
        </w:rPr>
      </w:pPr>
      <w:r w:rsidRPr="00913D56">
        <w:rPr>
          <w:rFonts w:ascii="Arial Black" w:eastAsia="Times New Roman" w:hAnsi="Arial Black" w:cs="Arial Black"/>
          <w:b/>
          <w:bCs/>
          <w:color w:val="1F3864"/>
          <w:sz w:val="44"/>
          <w:szCs w:val="44"/>
          <w:lang w:eastAsia="uk-UA"/>
        </w:rPr>
        <w:t>Професійне кредо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uk-UA"/>
        </w:rPr>
        <w:t>«Учитель не той , хто вчить,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uk-UA"/>
        </w:rPr>
        <w:t xml:space="preserve">а той, у кого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uk-UA"/>
        </w:rPr>
        <w:t>вчаться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uk-UA"/>
        </w:rPr>
        <w:t>»</w:t>
      </w:r>
    </w:p>
    <w:p w:rsidR="00913D56" w:rsidRPr="00913D56" w:rsidRDefault="00913D56" w:rsidP="00913D56">
      <w:pPr>
        <w:tabs>
          <w:tab w:val="left" w:pos="2298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913D56" w:rsidRPr="00913D56" w:rsidRDefault="00913D56" w:rsidP="00913D56">
      <w:pPr>
        <w:tabs>
          <w:tab w:val="left" w:pos="2298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913D56" w:rsidRPr="00913D56" w:rsidRDefault="00913D56" w:rsidP="00913D56">
      <w:pPr>
        <w:tabs>
          <w:tab w:val="left" w:pos="2298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                            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lastRenderedPageBreak/>
        <w:t xml:space="preserve">   </w:t>
      </w:r>
      <w:r w:rsidRPr="00913D5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uk-UA"/>
        </w:rPr>
        <w:t>І. Вступ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uk-UA"/>
        </w:rPr>
        <w:t>Аналіз роботи методичного об’єднання вчителів початкових класів за підсумками 2022-2023 навчального року.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91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Постійно шукати і творити,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рухатися вперед в ногу з життям.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У період, коли освіта України набуває кардинальних змін, виникає необхідність в оновленні методів та прийомів навчання, в залученні інноваційних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формування в учнів предметних та життєвих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Сучасному суспільству потрібні громадяни, які здатні приймати нестандартні рішення, тобто підходити до вирішення тієї чи іншої проблеми, само контролювати та само оцінювати результати своєї діяльності.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активності, формування не тільки предметних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учнів, а й самоосвітніх. Тому всі аспекти навчання повинні бути спрямовані на розвиток творчої особистості розкриття обдарованості кожної дитини.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Методичне об’єднання вчителів початкових класів у 2022-2023 навчальному році працювало над проблемою: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  <w:lang w:eastAsia="uk-UA"/>
        </w:rPr>
        <w:t xml:space="preserve"> «Впровадження сучасних інноваційних  технологій навчання  для формування компетентної особистості учня»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«</w:t>
      </w:r>
      <w:r w:rsidRPr="00913D56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   </w:t>
      </w: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Проводилась велика робота з реалізації даного проблемного питання. Це проведення засідань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методоб'єднання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вчителів початкових класів, відкритих уроків та виховних заходів, творчий звіт вчителя, що атестуються. Метою роботи методичного об'єднання вчителів - створення комфортних умов для навчання, за яких учень відчуває свою успішність, свою інтелектуальну досконалість, відчуває себе частинкою соціуму, його невід'ємною ланкою. Тому ця проблема і охопила всі сфери шкільного життя, весь освітній процес, де в центрі стоїть особистість - учень, з інтелектуальним, фізичним, творчим потенціалом.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Робота методичного об’єднання була спрямована на підвищення професійної майстерності і розвиток творчої ініціативи вчителів, впровадження нового Державного стандарту початкової загальної освіти; застосування в інноваційному навчанні інтерактивних технологій; створення умов для формування ключових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учнів, педагогів. Протягом навчального року вчителі початкових класів працювали творчо наполегливо ефективно та  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результативно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Згідно з планом роботи МО початкових класів у І семестрі відбулося 3 засідання.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lastRenderedPageBreak/>
        <w:t>На 1 засіданні  була узгоджена  методична проблема МО та поставлені завдання на рік, опрацьовано нормативно-правові документи, погоджено календарне планування на 2022-2023 навчальний рік та практично ознайомлено з питанням « Організація безпечного освітнього середовища".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У жовтні місяці розглянули два питання: 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 1.</w:t>
      </w: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Розвиток критичного мислення молодших школярів як необхідна вимога сьогодення.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2.Про участь учнів 3- 4 класів у Міжнародному конкурсі знавців української мови імені П. Яцика.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50" w:line="275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50" w:line="275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З метою піднесення престижу української мови, виховання у молодого покоління українців поваги до свого народу, рідної мови і традицій, виявлення творчо обдарованої молоді, розвитку її потенціалу, підвищення рівня загальної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мовної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культури в листопаді місяці була проведена Декада української писемності та мови, під час якої вчителями  були проведені інформаційні хвилинки, мовознавчі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квести,мовні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конкурси тощо.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50" w:line="275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Членами МО було опрацьовано «Критерії оцінювання навчальних досягнень учнів в НУШ» та питання сертифікації вчителів.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50" w:line="275" w:lineRule="auto"/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На засіданнях МО вчителі розглядали і затверджували тексти контрольних робіт, аналізували результати і пропонували шляхи подолання труднощів у навчанні молодших школярів та ліквідації прогалин з навчальних предметів. Вчителі постійно демонструють у своїй педагогічній діяльності різноманітність форм методичної роботи та навичок володіння ІКТ.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50" w:line="275" w:lineRule="auto"/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Третє засідання відбулося у грудні.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засіданні члени МО вивчали досвід впровадження дистанційного навчання в освітній галузі, опрацьовували технології дистанційного навчання, ділилися досвідом організації участі молодших школярів у творчих конкурсах та олімпіадах в онлайн-режимі.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брали участь у математичному конкурсі  «Кенгуру» (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Євтушик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Артур,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П,ятенко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Артем,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Леськів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Злата…), в онлайн – конкурсах декламаторів, співів…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період між засіданнями члени МО працювали над самоосвітою, описували свій досвід і брали участь у конкурсі «Творчі сходинки педагогів Волині» (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Винарчик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М., Панасюк І. М.)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члени МО взяли активну участь у проведенні тижня початкових класів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«КОЛЬОРОВИЙ  ТИЖДЕНЬ  ТОЛЕРАНТНОСТІ»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СИНІЙ  ПОНЕДІЛОК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 Синій—оптимізм, спокій « Планета  толерантності»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  Акція  «Букет толерантності».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Тематичні  години  спілкування,  інформаційні  хвилинки,  тренінги.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>ЗЕЛЕНИЙ  ВІВТОРОК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>Зелений – ніжність, оздоровлення, безконфліктність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            «Посміхнись  життю»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1.Акція «Час посміхнутися».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2.Створення дерева «Життя прекрасне».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3.Відкритий мікрофон «Щастя –це…»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        ЧЕРВОНА  СЕРЕДА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>Червоний – день ввічливості, доброти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  «Добро  починається з тебе»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1.Акція «Скринька добрих справ».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2.Відкритий мікрофон «Доброта – це…»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3.Декламування віршів про добро.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4.Полотно  «Сердечка добро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ФІОЛЕТОВИЙ  ЧЕТВЕР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Фіолетовий – натхнення,  врівноваженість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       «Дружба – це маленька  планета»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1.Інтерв,ю на найкраще визначення. Дружба—це…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2.Години спілкування, інформаційні хвилинки,                         тренінги.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                  ЖОВТА  П,ЯТНИЦЯ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913D56">
        <w:rPr>
          <w:rFonts w:ascii="Times New Roman" w:eastAsia="Times New Roman" w:hAnsi="Times New Roman" w:cs="Times New Roman"/>
          <w:sz w:val="40"/>
          <w:szCs w:val="40"/>
          <w:lang w:eastAsia="uk-UA"/>
        </w:rPr>
        <w:lastRenderedPageBreak/>
        <w:t xml:space="preserve">        Жовтий  --  позитив,  оптимізм</w:t>
      </w:r>
    </w:p>
    <w:p w:rsidR="00913D56" w:rsidRPr="00913D56" w:rsidRDefault="00913D56" w:rsidP="00913D56">
      <w:pPr>
        <w:numPr>
          <w:ilvl w:val="0"/>
          <w:numId w:val="1"/>
        </w:numPr>
        <w:autoSpaceDE w:val="0"/>
        <w:autoSpaceDN w:val="0"/>
        <w:adjustRightInd w:val="0"/>
        <w:spacing w:after="160" w:line="258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Арт—тренінг  «Якого кольору толерантність».</w:t>
      </w:r>
    </w:p>
    <w:p w:rsidR="00913D56" w:rsidRPr="00913D56" w:rsidRDefault="00913D56" w:rsidP="00913D56">
      <w:pPr>
        <w:numPr>
          <w:ilvl w:val="0"/>
          <w:numId w:val="1"/>
        </w:numPr>
        <w:autoSpaceDE w:val="0"/>
        <w:autoSpaceDN w:val="0"/>
        <w:adjustRightInd w:val="0"/>
        <w:spacing w:after="160" w:line="258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Фотоконкурс Подаруй світу усмішку».</w:t>
      </w:r>
    </w:p>
    <w:p w:rsidR="00913D56" w:rsidRPr="00913D56" w:rsidRDefault="00913D56" w:rsidP="00913D56">
      <w:pPr>
        <w:numPr>
          <w:ilvl w:val="0"/>
          <w:numId w:val="1"/>
        </w:numPr>
        <w:autoSpaceDE w:val="0"/>
        <w:autoSpaceDN w:val="0"/>
        <w:adjustRightInd w:val="0"/>
        <w:spacing w:after="160" w:line="258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Створення українського віночка побажань» для учнів, батьків, вчителів.</w:t>
      </w:r>
    </w:p>
    <w:p w:rsidR="00913D56" w:rsidRPr="00913D56" w:rsidRDefault="00913D56" w:rsidP="00913D56">
      <w:pPr>
        <w:numPr>
          <w:ilvl w:val="0"/>
          <w:numId w:val="1"/>
        </w:numPr>
        <w:autoSpaceDE w:val="0"/>
        <w:autoSpaceDN w:val="0"/>
        <w:adjustRightInd w:val="0"/>
        <w:spacing w:after="160" w:line="258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Закриття тижня толерантності під девізом : «Твори добро на радість людям!» </w:t>
      </w:r>
    </w:p>
    <w:p w:rsidR="00913D56" w:rsidRPr="00913D56" w:rsidRDefault="00913D56" w:rsidP="00913D56">
      <w:pPr>
        <w:autoSpaceDE w:val="0"/>
        <w:autoSpaceDN w:val="0"/>
        <w:adjustRightInd w:val="0"/>
        <w:spacing w:after="160" w:line="275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 Підведення підсумків тижня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50" w:line="275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В ІІ семестрі відбулися 2 засідання МО: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Винарчик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Л.М. провела відкритий  урок математики в 4 класі на тему «Множення і ділення багатоцифрових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чисел.Розв,язування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задач на знаходження частини від числа»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Досвідом роботи поділилася Панасюк І.М., провівши урок ЯДС у 1 класі.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2.Обмін досвідом «Методичні «фішки» для уроків гуманітарного циклу» .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Берегович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П. 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 дайджест «STEM-наступ у початковій школі. STEM –    Піхотинці та їх побратими на полях ЯДС .Панасюк І.М.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STEM - навчання поєднує в собі міждисциплінарний і проектний підхід, основою для якого стає інтеграція природничих наук в технології, інженерну творчість і математику. 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STEM - освіта за допомогою практичних занять демонструє дітям застосування науково - технічних знань у реальному житті. На кожному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розробляють, будують і розвивають продукти сучасної індустрії.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STEM - освіта сприяє розвитку навичок критичного мислення та розв'язанню проблем, необхідних для подолання труднощів, з якими діти можуть зіткнутися в житті.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Панасюк І. М. поділилася досвідом роботи по темах: "Правила товаришування."( ЯДС)  .Колективний міні-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«Разом з друзями краще»;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"Я буду успішною людиною." Вправа « Мій шлях до успіху»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У травні  відбулося підсумкове засідання МО.</w:t>
      </w:r>
    </w:p>
    <w:p w:rsidR="00913D56" w:rsidRPr="00913D56" w:rsidRDefault="00913D56" w:rsidP="00913D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2060"/>
          <w:sz w:val="32"/>
          <w:szCs w:val="32"/>
          <w:lang w:eastAsia="uk-UA"/>
        </w:rPr>
      </w:pPr>
      <w:r w:rsidRPr="00913D56">
        <w:rPr>
          <w:rFonts w:ascii="Arial" w:eastAsia="Times New Roman" w:hAnsi="Arial" w:cs="Arial"/>
          <w:color w:val="002060"/>
          <w:sz w:val="32"/>
          <w:szCs w:val="32"/>
          <w:lang w:eastAsia="uk-UA"/>
        </w:rPr>
        <w:lastRenderedPageBreak/>
        <w:t>Члени МО підвели підсумки роботи за 2022-2023н.р.: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75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13D56">
        <w:rPr>
          <w:rFonts w:ascii="Arial" w:eastAsia="Times New Roman" w:hAnsi="Arial" w:cs="Arial"/>
          <w:b/>
          <w:bCs/>
          <w:color w:val="333333"/>
          <w:sz w:val="20"/>
          <w:szCs w:val="20"/>
          <w:lang w:eastAsia="uk-UA"/>
        </w:rPr>
        <w:t> </w:t>
      </w:r>
      <w:r w:rsidRPr="00913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</w:t>
      </w:r>
      <w:r w:rsidRPr="00913D56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    </w:t>
      </w:r>
      <w:hyperlink r:id="rId6" w:tgtFrame="_blank" w:history="1"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Відповідальність здобувачів освіти за результати свого навчання, здатності до </w:t>
        </w:r>
        <w:proofErr w:type="spellStart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самооцінювання</w:t>
        </w:r>
        <w:proofErr w:type="spellEnd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.</w:t>
        </w:r>
      </w:hyperlink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24" w:lineRule="atLeast"/>
        <w:ind w:left="426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13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</w:t>
      </w:r>
      <w:r w:rsidRPr="00913D56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</w:t>
      </w:r>
      <w:hyperlink r:id="rId7" w:tgtFrame="_blank" w:history="1">
        <w:r w:rsidRPr="00913D56">
          <w:rPr>
            <w:rFonts w:ascii="Times New Roman" w:eastAsia="Times New Roman" w:hAnsi="Times New Roman" w:cs="Times New Roman"/>
            <w:color w:val="004CD8"/>
            <w:sz w:val="14"/>
            <w:szCs w:val="14"/>
            <w:u w:val="single"/>
            <w:lang w:eastAsia="uk-UA"/>
          </w:rPr>
          <w:t>  </w:t>
        </w:r>
      </w:hyperlink>
      <w:hyperlink r:id="rId8" w:tgtFrame="_blank" w:history="1"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Академічна </w:t>
        </w:r>
        <w:proofErr w:type="spellStart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доброчесность</w:t>
        </w:r>
        <w:proofErr w:type="spellEnd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 як інструмент забезпечення якості освіти</w:t>
        </w:r>
      </w:hyperlink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24" w:lineRule="atLeast"/>
        <w:ind w:left="426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13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</w:t>
      </w:r>
      <w:r w:rsidRPr="00913D56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</w:t>
      </w:r>
      <w:hyperlink r:id="rId9" w:tgtFrame="_blank" w:history="1"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Розгляд та обговорення  </w:t>
        </w:r>
        <w:proofErr w:type="spellStart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свідоцтв</w:t>
        </w:r>
        <w:proofErr w:type="spellEnd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 досягнень для учнів1 - 4 класів.</w:t>
        </w:r>
      </w:hyperlink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24" w:lineRule="atLeast"/>
        <w:ind w:left="426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13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</w:t>
      </w:r>
      <w:r w:rsidRPr="00913D56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   </w:t>
      </w:r>
      <w:hyperlink r:id="rId10" w:tgtFrame="_blank" w:history="1"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Звіт керівника МО про підсумки роботи за рік.</w:t>
        </w:r>
      </w:hyperlink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24" w:lineRule="atLeast"/>
        <w:ind w:left="426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13D5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</w:t>
      </w:r>
      <w:r w:rsidRPr="00913D56">
        <w:rPr>
          <w:rFonts w:ascii="Times New Roman" w:eastAsia="Times New Roman" w:hAnsi="Times New Roman" w:cs="Times New Roman"/>
          <w:color w:val="333333"/>
          <w:sz w:val="14"/>
          <w:szCs w:val="14"/>
          <w:lang w:eastAsia="uk-UA"/>
        </w:rPr>
        <w:t>  </w:t>
      </w:r>
      <w:hyperlink r:id="rId11" w:tgtFrame="_blank" w:history="1"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Виставка досягнень членів МО (портфоліо вчителів, що вміщує серію розроблених уроків, </w:t>
        </w:r>
        <w:proofErr w:type="spellStart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виховнихзаходів</w:t>
        </w:r>
        <w:proofErr w:type="spellEnd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 xml:space="preserve">; методичні матеріали; свідоцтва про закінчення курсів </w:t>
        </w:r>
        <w:proofErr w:type="spellStart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підвищеннякваліфікації</w:t>
        </w:r>
        <w:proofErr w:type="spellEnd"/>
        <w:r w:rsidRPr="00913D56">
          <w:rPr>
            <w:rFonts w:ascii="Times New Roman" w:eastAsia="Times New Roman" w:hAnsi="Times New Roman" w:cs="Times New Roman"/>
            <w:color w:val="004CD8"/>
            <w:sz w:val="28"/>
            <w:szCs w:val="28"/>
            <w:u w:val="single"/>
            <w:lang w:eastAsia="uk-UA"/>
          </w:rPr>
          <w:t>; сертифікати, подяки, грамоти та портфоліо учнів).</w:t>
        </w:r>
      </w:hyperlink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24" w:lineRule="atLeast"/>
        <w:ind w:left="426" w:hanging="360"/>
        <w:jc w:val="both"/>
        <w:rPr>
          <w:rFonts w:ascii="Arial" w:eastAsia="Times New Roman" w:hAnsi="Arial" w:cs="Arial"/>
          <w:color w:val="002060"/>
          <w:sz w:val="20"/>
          <w:szCs w:val="20"/>
          <w:lang w:eastAsia="uk-UA"/>
        </w:rPr>
      </w:pPr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6.</w:t>
      </w:r>
      <w:r w:rsidRPr="00913D56">
        <w:rPr>
          <w:rFonts w:ascii="Times New Roman" w:eastAsia="Times New Roman" w:hAnsi="Times New Roman" w:cs="Times New Roman"/>
          <w:color w:val="002060"/>
          <w:sz w:val="14"/>
          <w:szCs w:val="14"/>
          <w:lang w:eastAsia="uk-UA"/>
        </w:rPr>
        <w:t>  </w:t>
      </w:r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Звіт членів МО про навчання на курсах підвищення кваліфікації вчителів, он, </w:t>
      </w:r>
      <w:proofErr w:type="spellStart"/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вебінарах</w:t>
      </w:r>
      <w:proofErr w:type="spellEnd"/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, інтернет-марафонах.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93" w:lineRule="atLeast"/>
        <w:ind w:left="426" w:hanging="360"/>
        <w:jc w:val="both"/>
        <w:rPr>
          <w:rFonts w:ascii="Arial" w:eastAsia="Times New Roman" w:hAnsi="Arial" w:cs="Arial"/>
          <w:color w:val="002060"/>
          <w:sz w:val="20"/>
          <w:szCs w:val="20"/>
          <w:lang w:eastAsia="uk-UA"/>
        </w:rPr>
      </w:pPr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7.</w:t>
      </w:r>
      <w:r w:rsidRPr="00913D56">
        <w:rPr>
          <w:rFonts w:ascii="Times New Roman" w:eastAsia="Times New Roman" w:hAnsi="Times New Roman" w:cs="Times New Roman"/>
          <w:color w:val="002060"/>
          <w:sz w:val="14"/>
          <w:szCs w:val="14"/>
          <w:lang w:eastAsia="uk-UA"/>
        </w:rPr>
        <w:t>  </w:t>
      </w:r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Моніторинг </w:t>
      </w:r>
      <w:proofErr w:type="spellStart"/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діагностувальних</w:t>
      </w:r>
      <w:proofErr w:type="spellEnd"/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робіт учнів 1 - 4-х класів. Участь учнів 1 – 4 класів у шкільних, міських олімпіадах, Всеукраїнських та  міжнародних конкурсах.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93" w:lineRule="atLeast"/>
        <w:ind w:left="426" w:hanging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8.</w:t>
      </w:r>
      <w:r w:rsidRPr="00913D56">
        <w:rPr>
          <w:rFonts w:ascii="Times New Roman" w:eastAsia="Times New Roman" w:hAnsi="Times New Roman" w:cs="Times New Roman"/>
          <w:color w:val="002060"/>
          <w:sz w:val="14"/>
          <w:szCs w:val="14"/>
          <w:lang w:eastAsia="uk-UA"/>
        </w:rPr>
        <w:t>     </w:t>
      </w:r>
      <w:r w:rsidRPr="00913D56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>Психологічний  тренінг «Сходинки успіху в роботі вчителя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ind w:firstLine="36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Відповідно до поставлених на рік завдань, вчителі початкових класів протягом року брали активну участь в роботі МО та в супутніх заходах щодо підвищення свого фахового рівня: розробляли онлайн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уроки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, тестові завдання з навчальних предметів на різних навчальних платформах, готували доповіді, міні-презентації до уроків та творчі звіти з досвіду роботи, проводили відкриті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уроки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, виховні заходи, старанно виконували свої доручення.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ind w:firstLine="36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Серед шляхів підвищення фахової майстерності педагогів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найдієвішими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є самонавчання та курсова перепідготовка.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ind w:firstLine="36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Так, педагоги обирали навчання ,відповідно до плану-графіку ВІППО, обирали семінари і тренінги для навчання на різних платформах, отримували сертифікати.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ind w:firstLine="360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За наслідками атестації в цьому навчальному році вчителю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Винарчик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Л.М. підтверджено вищу кваліфікаційну категорію та звання «старший вчитель» ,Панасюк І. М. підтвердили першу кваліфікаційну категорію.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Як і раніше, в цьому навчальному році учні 2 – 4 класів взяли участь в онлайн олімпіадах (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Леськів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Злата) олімпіади  з інформатики та 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анг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. мови (</w:t>
      </w:r>
      <w:proofErr w:type="spellStart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Євтушик</w:t>
      </w:r>
      <w:proofErr w:type="spellEnd"/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 xml:space="preserve"> Артур). . Проведення цих конкурсів для дітей є гарною </w:t>
      </w: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lastRenderedPageBreak/>
        <w:t>можливістю перевірити свої знання, удосконалювати роботу з тестами, підвищувати свій результат.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rPr>
          <w:rFonts w:ascii="Helvetica" w:eastAsia="Times New Roman" w:hAnsi="Helvetica" w:cs="Helvetica"/>
          <w:color w:val="333333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Перед вчителями початкових класів стоять завдання: бути готовими за будь яких умов орієнтувати кожен навчальний предмет на пошук свого місця у розвитку особистості молодшого школяра, формування у нього провідної навчальної діяльності, вміння і бажання вчитися, щоб кожен зміг без перешкод продовжити свою освіту в основній школі та адаптуватися у житті.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before="150" w:after="180" w:line="275" w:lineRule="auto"/>
        <w:rPr>
          <w:rFonts w:ascii="Arial" w:eastAsia="Times New Roman" w:hAnsi="Arial" w:cs="Arial"/>
          <w:color w:val="002060"/>
          <w:sz w:val="28"/>
          <w:szCs w:val="28"/>
          <w:lang w:eastAsia="uk-UA"/>
        </w:rPr>
      </w:pPr>
      <w:r w:rsidRPr="00913D56">
        <w:rPr>
          <w:rFonts w:ascii="Helvetica" w:eastAsia="Times New Roman" w:hAnsi="Helvetica" w:cs="Helvetica"/>
          <w:color w:val="111111"/>
          <w:sz w:val="28"/>
          <w:szCs w:val="28"/>
          <w:lang w:eastAsia="uk-UA"/>
        </w:rPr>
        <w:t>Засідання МО здійснювалися згідно плану роботи МО. План роботи на рік реалізований в повному обсязі</w:t>
      </w: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160" w:line="293" w:lineRule="atLeast"/>
        <w:ind w:left="426" w:hanging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</w:p>
    <w:p w:rsidR="00913D56" w:rsidRPr="00913D56" w:rsidRDefault="00913D56" w:rsidP="00913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uk-UA"/>
        </w:rPr>
        <w:t>ІІ. Інформація про членів МО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560"/>
        <w:gridCol w:w="1268"/>
        <w:gridCol w:w="1423"/>
        <w:gridCol w:w="1218"/>
        <w:gridCol w:w="1195"/>
        <w:gridCol w:w="1290"/>
        <w:gridCol w:w="1584"/>
      </w:tblGrid>
      <w:tr w:rsidR="00913D56" w:rsidRPr="00913D5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П.І.П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учителя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  <w:r w:rsidRPr="00913D5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Дата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наро-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дження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Назва вузу,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Спеціаль-ність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за дипломом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Стаж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роботи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Курси, рік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Атеста-ція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рік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Категорія,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педаго-гічне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звання</w:t>
            </w:r>
          </w:p>
        </w:tc>
      </w:tr>
      <w:tr w:rsidR="00913D56" w:rsidRPr="00913D5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Винарчик</w:t>
            </w:r>
            <w:proofErr w:type="spellEnd"/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Лариса 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Миколаївна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02.09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Луцький пед.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ім. Л. Українки 1987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Вчитель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навчання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старший вчитель</w:t>
            </w:r>
          </w:p>
        </w:tc>
      </w:tr>
      <w:tr w:rsidR="00913D56" w:rsidRPr="00913D5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Берегович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Неля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Прокопівна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23.10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Луцький пед.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інститут ім. Л. Українки 1986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Вчитель  </w:t>
            </w: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математики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перша</w:t>
            </w:r>
          </w:p>
        </w:tc>
      </w:tr>
      <w:tr w:rsidR="00913D56" w:rsidRPr="00913D5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Панасюк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Інна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Мелетіївна</w:t>
            </w:r>
            <w:proofErr w:type="spellEnd"/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26.04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перша</w:t>
            </w:r>
          </w:p>
        </w:tc>
      </w:tr>
      <w:tr w:rsidR="00913D56" w:rsidRPr="00913D56">
        <w:trPr>
          <w:trHeight w:val="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Приведенець</w:t>
            </w:r>
            <w:proofErr w:type="spellEnd"/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Сергіївна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29.10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Луцький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пед. коледж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13D56" w:rsidRPr="00913D5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uk-UA"/>
        </w:rPr>
        <w:t>ІІІ. Теми, над якими працюють учителі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1.Винарчик Л.М. 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Розвиток пізнавальної активності молодших школярів шляхом впровадження інноваційних технологій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2. </w:t>
      </w:r>
      <w:proofErr w:type="spellStart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Берегович</w:t>
      </w:r>
      <w:proofErr w:type="spellEnd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Н.П.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Розвиток соціальної компетентності учнів на </w:t>
      </w:r>
      <w:proofErr w:type="spellStart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3.Панасюк І.М.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Формування комунікативної компетентності учнів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4. </w:t>
      </w:r>
      <w:proofErr w:type="spellStart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Приведенець</w:t>
      </w:r>
      <w:proofErr w:type="spellEnd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С.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Ігрові технології навчання на </w:t>
      </w:r>
      <w:proofErr w:type="spellStart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як засіб розви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тку комунікативних навичок учні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uk-UA"/>
        </w:rPr>
        <w:t>IV. Вивчення, узагальнення і впровадження передового педагогічного досвіду, підвищення фахової майстерності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44"/>
          <w:szCs w:val="4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535"/>
        <w:gridCol w:w="1659"/>
        <w:gridCol w:w="2320"/>
      </w:tblGrid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64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Особистісно орієнтоване навчання учнів молодшого шкільного віку. 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(Савченко О. Я.)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розвивального навчання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(Д. Ельконіна-В. Давидова)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________.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Впровадження елементів здоров’язберігаючих технологій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Виховання учнів на історико-культурних традиціям рідного міста «Мій рідний край – найкраще місце» (досвід учителів початкових класів ЗЗСО)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роботи вчителя по використанню ефективних вправ і прийомів для удосконалення навички читання здобувачів освіти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МО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Створення інтерактивних онлайн-ігор до уроків у початковій школі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МО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Уроки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край неба »  за В.О. Сухомлинським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МО</w:t>
            </w:r>
          </w:p>
        </w:tc>
      </w:tr>
      <w:tr w:rsidR="00913D56" w:rsidRPr="00913D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національно-патріотичної компетентності учнів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МО</w:t>
            </w: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52"/>
          <w:szCs w:val="5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uk-UA"/>
        </w:rPr>
        <w:t>V. Організація позакласної роботи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52"/>
          <w:szCs w:val="52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830"/>
        <w:gridCol w:w="1885"/>
        <w:gridCol w:w="880"/>
      </w:tblGrid>
      <w:tr w:rsidR="00913D56" w:rsidRPr="00913D56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При-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мітки</w:t>
            </w:r>
          </w:p>
        </w:tc>
      </w:tr>
      <w:tr w:rsidR="00913D56" w:rsidRPr="00913D56">
        <w:trPr>
          <w:trHeight w:val="2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</w:tr>
      <w:tr w:rsidR="00913D56" w:rsidRPr="00913D56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Першого дзвоника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Патріотичний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«Герої поруч з нами».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Краєзначий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квест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«Знай, люби, оберігай  рідне  місто — рідний край»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тематичних годин «Ми прагнемо миру. Війну зупинімо»                          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2 – 4 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Проект «А у нас на паралелі». «Шкільний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майданс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3кл.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Вишиванко-джинсовий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</w:tr>
      <w:tr w:rsidR="00913D56" w:rsidRPr="00913D56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Тематичні класні години «Безсмертним подвигом своїм вони прославили країну», «Героїчне минуле народу»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шкільному конкурсі  «Моя Батьківщина — Україна»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Етичний тренінг «Культура користування мобільним телефоном»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Екскурсії по рідному краю та визначних місцях «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Уроки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духовності та мистецтва»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«У рідному краї серце співає» (збір пісень рідного краю). Патріотична гра-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квест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із краєзнавчим змістом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керівник,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Диспут «Бути вірним в дружбі  означає…»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3-4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рамках проекту «Таємниці книжкового  дивосвіту» свято «Мандруємо книжковою  країною»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Класний керівник 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8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</w:tr>
      <w:tr w:rsidR="00913D56" w:rsidRPr="00913D56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Місячник правових знань та Всеукраїнського тижня права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1-их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Зустрічі з представниками правоохоронних органів правопорядку в рамках проведення місячника правових знань (1-4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.)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писемності та мови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13D56" w:rsidRPr="00913D56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Година спілкування « Ми сьогодні громадяни»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Уроки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звитяги до Дня гідності та свободи «Гідність людини понад усе», «Вони боролись за свободу»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4-кл.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Посвята в першокласники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Вчитель 1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початкової школи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2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Грудень</w:t>
            </w:r>
          </w:p>
        </w:tc>
      </w:tr>
      <w:tr w:rsidR="00913D56" w:rsidRPr="00913D56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«А у нас на паралелі». «Казковий фестиваль»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2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рамках інформаційно-пошукового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«Збережемо природу Землі разом». Екологічний  турнір «Природа – наш дім , бережімо  його !»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Кл.керівник</w:t>
            </w:r>
            <w:proofErr w:type="spellEnd"/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Акція  на  захист ялинки «Ялинка – SOS»» 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  Дня  захисту  прав тварин участь у місячнику  доброти. Співпраця з  ГО  «Центр захисту  живої природи «Юний європеєць»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Святкування Дня Миколая. Акція «Нехай Миколай прийде до кожного»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КТС «Ялинкові   прикраси  від  Миколая» ( виставка учнівських робіт)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Акція «Діти - дітям»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D56" w:rsidRPr="00913D56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Новорічні ранки  «Новий рік мандрує по країні»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1-4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91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  <w:lastRenderedPageBreak/>
        <w:t>План роботи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  <w:t>методичного об`єднання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  <w:t>вчителів початкових класів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  <w:t>на 2023 – 2024 навчальний рік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lang w:eastAsia="uk-UA"/>
        </w:rPr>
        <w:t>Науково-методична проблема, над якою працює методичне об’єднання:</w:t>
      </w:r>
    </w:p>
    <w:p w:rsidR="00913D56" w:rsidRPr="00913D56" w:rsidRDefault="00913D56" w:rsidP="00913D56">
      <w:pPr>
        <w:autoSpaceDE w:val="0"/>
        <w:autoSpaceDN w:val="0"/>
        <w:adjustRightInd w:val="0"/>
        <w:spacing w:line="275" w:lineRule="auto"/>
        <w:jc w:val="center"/>
        <w:rPr>
          <w:rFonts w:ascii="Monotype Corsiva" w:eastAsia="Times New Roman" w:hAnsi="Monotype Corsiva" w:cs="Monotype Corsiva"/>
          <w:b/>
          <w:bCs/>
          <w:i/>
          <w:iCs/>
          <w:color w:val="0D0D0D"/>
          <w:sz w:val="48"/>
          <w:szCs w:val="4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uk-UA"/>
        </w:rPr>
        <w:t>«</w:t>
      </w:r>
      <w:r w:rsidRPr="00913D56">
        <w:rPr>
          <w:rFonts w:ascii="Monotype Corsiva" w:eastAsia="Times New Roman" w:hAnsi="Monotype Corsiva" w:cs="Monotype Corsiva"/>
          <w:b/>
          <w:bCs/>
          <w:i/>
          <w:iCs/>
          <w:color w:val="0D0D0D"/>
          <w:sz w:val="48"/>
          <w:szCs w:val="48"/>
          <w:shd w:val="clear" w:color="auto" w:fill="FFFFFF"/>
          <w:lang w:eastAsia="uk-UA"/>
        </w:rPr>
        <w:t xml:space="preserve">«ФОРМУВАННЯ ПАТРІОТИЧНИХ </w:t>
      </w:r>
    </w:p>
    <w:p w:rsidR="00913D56" w:rsidRPr="00913D56" w:rsidRDefault="00913D56" w:rsidP="00913D56">
      <w:pPr>
        <w:autoSpaceDE w:val="0"/>
        <w:autoSpaceDN w:val="0"/>
        <w:adjustRightInd w:val="0"/>
        <w:spacing w:line="275" w:lineRule="auto"/>
        <w:jc w:val="center"/>
        <w:rPr>
          <w:rFonts w:ascii="Monotype Corsiva" w:eastAsia="Times New Roman" w:hAnsi="Monotype Corsiva" w:cs="Monotype Corsiva"/>
          <w:b/>
          <w:bCs/>
          <w:i/>
          <w:iCs/>
          <w:color w:val="0D0D0D"/>
          <w:sz w:val="48"/>
          <w:szCs w:val="48"/>
          <w:lang w:eastAsia="uk-UA"/>
        </w:rPr>
      </w:pPr>
      <w:r w:rsidRPr="00913D56">
        <w:rPr>
          <w:rFonts w:ascii="Monotype Corsiva" w:eastAsia="Times New Roman" w:hAnsi="Monotype Corsiva" w:cs="Monotype Corsiva"/>
          <w:b/>
          <w:bCs/>
          <w:i/>
          <w:iCs/>
          <w:color w:val="0D0D0D"/>
          <w:sz w:val="48"/>
          <w:szCs w:val="48"/>
          <w:shd w:val="clear" w:color="auto" w:fill="FFFFFF"/>
          <w:lang w:eastAsia="uk-UA"/>
        </w:rPr>
        <w:t>І ГРОМАДЯНСЬКИХ ЯКОСТЕЙ ОСОБИСТОСТІ УЧНЯ»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Завдання методичного об’єднання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вчителів початкових класів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. Впровадження особистісно-орієнтованого та діяльнісного підходів в організації роботи членів ШМО.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2. Створення умов для успішного впровадження Концепції Нової української школи, Державного стандарту початкової освіти на засадах </w:t>
      </w:r>
      <w:proofErr w:type="spellStart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компетентнісного</w:t>
      </w:r>
      <w:proofErr w:type="spellEnd"/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підходу.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3. 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самовдосконалення.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4. Задоволення особистісних освітніх потреб вчителів.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sz w:val="32"/>
          <w:szCs w:val="32"/>
          <w:lang w:eastAsia="uk-UA"/>
        </w:rPr>
        <w:t>5. Формування єдиного освітнього-методичного простору для професійного зростання педагогів.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lastRenderedPageBreak/>
        <w:t>Тематика засідань методичного об`єднання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вчителів початкових класів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на 2023-2024 навчальний рік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uk-UA"/>
        </w:rPr>
        <w:t>Засідання 1</w:t>
      </w:r>
      <w:r w:rsidRPr="00913D5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.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Тема.   </w:t>
      </w:r>
      <w:r w:rsidRPr="00913D5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Підвищення професійної компетентності педагогів. Особливості організації навчально-виховного процесу ( серпень)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uk-UA"/>
        </w:rPr>
        <w:t>Засідання 2.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color w:val="0D0D0D"/>
          <w:sz w:val="36"/>
          <w:szCs w:val="36"/>
          <w:lang w:eastAsia="uk-UA"/>
        </w:rPr>
        <w:t xml:space="preserve">Тема. </w:t>
      </w: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 Тема. Формування громадянської компетентності у здобувачів освіти. Адаптація першокласників  до шкільного колективу                ( листопад)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uk-UA"/>
        </w:rPr>
        <w:t>Засідання 3.</w:t>
      </w:r>
      <w:r w:rsidRPr="00913D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Тема. Освітнє середовище як головний чинник розвитку особистості учня.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( грудень)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uk-UA"/>
        </w:rPr>
        <w:t>Засідання 4.</w:t>
      </w:r>
      <w:r w:rsidRPr="00913D5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Тема. «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Булінг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у дитячому середовищі. </w:t>
      </w: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Інноваційні та хмарні технології: доцільність та практичне застосування у освітній діяльності»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 xml:space="preserve"> (березень)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uk-UA"/>
        </w:rPr>
        <w:t>Засідання 5.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color w:val="0D0D0D"/>
          <w:sz w:val="36"/>
          <w:szCs w:val="36"/>
          <w:lang w:eastAsia="uk-UA"/>
        </w:rPr>
        <w:t xml:space="preserve">Тема. </w:t>
      </w: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Підсумок роботи методичного об’єднання за рік ( травень)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lastRenderedPageBreak/>
        <w:t>Засідання 1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Тема.   Підвищення професійної компетентності педагогів.  </w:t>
      </w:r>
      <w:r w:rsidRPr="00913D56">
        <w:rPr>
          <w:rFonts w:ascii="Arial" w:eastAsia="Times New Roman" w:hAnsi="Arial" w:cs="Arial"/>
          <w:color w:val="242320"/>
          <w:sz w:val="20"/>
          <w:szCs w:val="20"/>
          <w:shd w:val="clear" w:color="auto" w:fill="FFFFFF"/>
          <w:lang w:eastAsia="uk-UA"/>
        </w:rPr>
        <w:t> </w:t>
      </w:r>
      <w:r w:rsidRPr="00913D56">
        <w:rPr>
          <w:rFonts w:ascii="Times New Roman" w:eastAsia="Times New Roman" w:hAnsi="Times New Roman" w:cs="Times New Roman"/>
          <w:b/>
          <w:bCs/>
          <w:i/>
          <w:iCs/>
          <w:color w:val="242320"/>
          <w:sz w:val="28"/>
          <w:szCs w:val="28"/>
          <w:shd w:val="clear" w:color="auto" w:fill="FFFFFF"/>
          <w:lang w:eastAsia="uk-UA"/>
        </w:rPr>
        <w:t>Особливості організації навчально-виховного процесу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Форма проведення.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Круглий стіл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13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Мета.</w:t>
      </w: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Вивчити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основні нормативні документи, що регламентують функціонування початкової 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школи;обговорити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виконання  плану  роботи  методичного  об’єднання  за  2022-2023 н. р.  та   затвердити  план   роботи  на  2023-2024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 розглянути  методичні  рекомендації  щодо  проведення  першого   уроку; проаналізувати  навчальні  програми, підручники, зошити.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d1e5f2eae0f2e0e1ebe8f6fb1"/>
        <w:tblpPr w:leftFromText="180" w:rightFromText="180" w:vertAnchor="text" w:horzAnchor="margin" w:tblpX="2" w:tblpY="158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09"/>
        <w:gridCol w:w="4830"/>
        <w:gridCol w:w="1441"/>
        <w:gridCol w:w="2548"/>
      </w:tblGrid>
      <w:tr w:rsidR="00913D56" w:rsidRPr="00913D56">
        <w:trPr>
          <w:trHeight w:val="415"/>
        </w:trPr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13D56" w:rsidRPr="00913D56" w:rsidRDefault="00913D56" w:rsidP="0091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з/ п</w:t>
            </w:r>
          </w:p>
        </w:tc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Зміст  роботи</w:t>
            </w: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913D56" w:rsidRPr="00913D56">
        <w:trPr>
          <w:trHeight w:val="279"/>
        </w:trPr>
        <w:tc>
          <w:tcPr>
            <w:tcW w:w="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1.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2.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3.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4.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5.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6.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lastRenderedPageBreak/>
              <w:t>7.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8.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Звіт  про  роботу методичного об’єднання   вчителів   початкових класів за  минулий  навчальний рік та затвердження   плану   роботи  </w:t>
            </w:r>
            <w:proofErr w:type="spellStart"/>
            <w:r w:rsidRPr="00913D56">
              <w:rPr>
                <w:sz w:val="28"/>
                <w:szCs w:val="28"/>
              </w:rPr>
              <w:t>методоб</w:t>
            </w:r>
            <w:proofErr w:type="spellEnd"/>
            <w:r w:rsidRPr="00913D56">
              <w:rPr>
                <w:sz w:val="28"/>
                <w:szCs w:val="28"/>
              </w:rPr>
              <w:t>’ єднання  на  2023 – 2024 н. р.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Обговорення  методичних   рекомендацій «Особливості навчально- виховного процесу у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початкових класах загальноосвітніх навчальних закладів у 2023 - 2024 </w:t>
            </w:r>
            <w:proofErr w:type="spellStart"/>
            <w:r w:rsidRPr="00913D56">
              <w:rPr>
                <w:sz w:val="28"/>
                <w:szCs w:val="28"/>
              </w:rPr>
              <w:t>н.р</w:t>
            </w:r>
            <w:proofErr w:type="spellEnd"/>
            <w:r w:rsidRPr="00913D56">
              <w:rPr>
                <w:sz w:val="28"/>
                <w:szCs w:val="28"/>
              </w:rPr>
              <w:t>.»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Розгляд   інструкцій  щодо  ведення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Класного  журналу  в  1- 4 класах   загальноосвітніх   навчальних  закладів 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Аналіз   навчальних  програм, </w:t>
            </w:r>
            <w:proofErr w:type="spellStart"/>
            <w:r w:rsidRPr="00913D56">
              <w:rPr>
                <w:sz w:val="28"/>
                <w:szCs w:val="28"/>
              </w:rPr>
              <w:t>підручників,зошитів,посібників</w:t>
            </w:r>
            <w:proofErr w:type="spellEnd"/>
            <w:r w:rsidRPr="00913D56">
              <w:rPr>
                <w:sz w:val="28"/>
                <w:szCs w:val="28"/>
              </w:rPr>
              <w:t xml:space="preserve">  для  початкової  школи. Календарне  планування  в  початкових  класах. Методичні   рекомендації   до   проведення  Першого   уроку.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Організація самоосвіти вчителів,  </w:t>
            </w:r>
            <w:r w:rsidRPr="00913D56">
              <w:rPr>
                <w:sz w:val="28"/>
                <w:szCs w:val="28"/>
              </w:rPr>
              <w:lastRenderedPageBreak/>
              <w:t>затвердження науково-методичних   проблем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Огляд новинок педагогічної літератури   та фахових  видань 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Огляд   класів- кабінетів. Готовність   кабінетів   початкової  ланки  освіти  до  роботи   в   новому   навчальному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році 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Розроблення пам’ятки «Кодекс справжнього патріота»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Серпень 2022р.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Заступник директора з НВР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Заступник директора з НВР,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Заступник директора з НВР,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Заступник директора з НВР,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lastRenderedPageBreak/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 членам  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методоб’єднання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: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інструктивно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-методичні листи, програми, підручники, зошити   та  посібники    для   початкової   школи;</w:t>
      </w: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проаналізувати  вимоги  Державного  стандарту, завдань  навчальних  програм;</w:t>
      </w: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методичних   рекомендацій   до   проведення  Першого   уроку;</w:t>
      </w: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поповнити  свій  робочий  кабінет  новими  наочними  посібниками, дидактичними  іграми,  роздатковим   матеріалом;</w:t>
      </w: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працювати  над ідеєю: «Кабінет -  творча  майстерня  вчителя!»;</w:t>
      </w: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підготуватися до обміну досвідом «НУШ. Перші сходинки разом з учнями 1-4 класів»;</w:t>
      </w:r>
    </w:p>
    <w:p w:rsidR="00913D56" w:rsidRPr="00913D56" w:rsidRDefault="00913D56" w:rsidP="00913D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 готовими взяти участь у майстер-класі «Щиро вітаємо на ранковій зустрічі».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lastRenderedPageBreak/>
        <w:t>Засідання 2</w:t>
      </w:r>
    </w:p>
    <w:p w:rsidR="00913D56" w:rsidRPr="00913D56" w:rsidRDefault="00913D56" w:rsidP="00913D5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Тема. </w:t>
      </w:r>
      <w:r w:rsidRPr="00913D56">
        <w:rPr>
          <w:rFonts w:ascii="Times New Roman" w:eastAsia="Times New Roman" w:hAnsi="Times New Roman" w:cs="Times New Roman"/>
          <w:b/>
          <w:bCs/>
          <w:color w:val="0D0D0D"/>
          <w:sz w:val="36"/>
          <w:szCs w:val="36"/>
          <w:lang w:eastAsia="uk-UA"/>
        </w:rPr>
        <w:t>Формування громадянської компетентності у здобувачів освіти</w:t>
      </w:r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913D5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Адаптація</w:t>
      </w:r>
      <w:r w:rsidRPr="00913D56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  <w:r w:rsidRPr="00913D56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першокласників  до шкільного колективу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Форма проведення.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 посиденьки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Мета. </w:t>
      </w: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озширити  знання  педагогів   щодо  формування громадянської компетентності у здобувачів освіти; підвищити  професійну компетентність учителів; сприяти розвитку творчої активності педагогів, виховувати інтерес  до  самовдосконалення.</w:t>
      </w:r>
      <w:r w:rsidRPr="00913D56">
        <w:rPr>
          <w:rFonts w:ascii="Arial" w:eastAsia="Times New Roman" w:hAnsi="Arial" w:cs="Arial"/>
          <w:color w:val="242320"/>
          <w:sz w:val="20"/>
          <w:szCs w:val="20"/>
          <w:shd w:val="clear" w:color="auto" w:fill="FFFFFF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умови для  успішної адаптації першокласників до шкільного  колективу. Спланувати роботу вчителів для проведення тижня   початкової ланки.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d1e5f2eae0f2e0e1ebe8f6fb1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20"/>
        <w:gridCol w:w="4811"/>
        <w:gridCol w:w="1768"/>
        <w:gridCol w:w="2590"/>
      </w:tblGrid>
      <w:tr w:rsidR="00913D56" w:rsidRPr="00913D56">
        <w:trPr>
          <w:trHeight w:val="187"/>
        </w:trPr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Зміст  роботи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913D56" w:rsidRPr="00913D56">
        <w:trPr>
          <w:trHeight w:val="699"/>
        </w:trPr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color w:val="0D0D0D"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color w:val="0D0D0D"/>
                <w:sz w:val="28"/>
                <w:szCs w:val="28"/>
              </w:rPr>
            </w:pPr>
            <w:r w:rsidRPr="00913D56">
              <w:rPr>
                <w:color w:val="0D0D0D"/>
                <w:sz w:val="28"/>
                <w:szCs w:val="28"/>
              </w:rPr>
              <w:t>1.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    2.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3.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4.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5.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5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both"/>
              <w:rPr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 </w:t>
            </w:r>
            <w:r w:rsidRPr="00913D56">
              <w:rPr>
                <w:sz w:val="28"/>
                <w:szCs w:val="28"/>
              </w:rPr>
              <w:t>Формування громадянської компетентності в учнів як необхідна вимога сьогодення.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both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Про участь учнів 3- 4 класів у Міжнародному конкурсі знавців української мови імені П. Яцика.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«Адаптація першокласників до шкільного колективу». Результати моніторингу           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Аукціон методичних ідей «Форми, методи, засоби національно-патріотичного виховання молодших школярів».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Створення методичного кейсу для вчителя «1000+1 ідея організації національно-патріотичного виховання молодших школярів».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Створення дидактичної картотеки «Етимологічні п’ятихвилинки на </w:t>
            </w:r>
            <w:proofErr w:type="spellStart"/>
            <w:r w:rsidRPr="00913D56">
              <w:rPr>
                <w:sz w:val="28"/>
                <w:szCs w:val="28"/>
              </w:rPr>
              <w:t>уроках</w:t>
            </w:r>
            <w:proofErr w:type="spellEnd"/>
            <w:r w:rsidRPr="00913D56">
              <w:rPr>
                <w:sz w:val="28"/>
                <w:szCs w:val="28"/>
              </w:rPr>
              <w:t xml:space="preserve"> української мови – ефективний засіб національно-патріотичного </w:t>
            </w:r>
            <w:r w:rsidRPr="00913D56">
              <w:rPr>
                <w:sz w:val="28"/>
                <w:szCs w:val="28"/>
              </w:rPr>
              <w:lastRenderedPageBreak/>
              <w:t>виховання»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Листопад 2023 р.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both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jc w:val="both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Учителі 3-4 класів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Шкільний психолог, класний керівник 1 класу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Заступник директора з НВР,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 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  членам 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методоб’єднання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організувати активну участь молодших школярів у Всеукраїнських конкурсах  «Соняшник», інтернет-олімпіадах «На урок», «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Всеосвіта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», конкурсі знавців української мови імені Петра Яцика;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вчителям, що  атестуються, підготувати  відкритий урок;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взаємовідвідувати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колег з метою обміну досвідом;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вивчати досвід роботи вчителів школи з теми «Формування громадянської компетентності в учнів як необхідна вимога сьогодення».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застосовувати на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етимологічних  п’ятихвилинок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lastRenderedPageBreak/>
        <w:t>Засідання 3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Тема.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Освітнє середовище як  головний чинник  розвитку  особистості учня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Форма проведення.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 посиденьки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Мета. </w:t>
      </w: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озширити  знання  педагогів   щодо  запровадження  НУШ(освітнє  середовище, інтегроване  навчання, осередки, LEGO);підвищити  професійну компетентність учителів; сприяти розвитку творчої активності педагогів,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інтерес  до  самовдосконалення.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d1e5f2eae0f2e0e1ebe8f6fb1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29"/>
        <w:gridCol w:w="4798"/>
        <w:gridCol w:w="1758"/>
        <w:gridCol w:w="2604"/>
      </w:tblGrid>
      <w:tr w:rsidR="00913D56" w:rsidRPr="00913D56">
        <w:trPr>
          <w:trHeight w:val="187"/>
        </w:trPr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Зміст  роботи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913D56" w:rsidRPr="00913D56">
        <w:trPr>
          <w:trHeight w:val="699"/>
        </w:trPr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color w:val="0D0D0D"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color w:val="0D0D0D"/>
                <w:sz w:val="28"/>
                <w:szCs w:val="28"/>
              </w:rPr>
            </w:pPr>
            <w:r w:rsidRPr="00913D56">
              <w:rPr>
                <w:color w:val="0D0D0D"/>
                <w:sz w:val="28"/>
                <w:szCs w:val="28"/>
              </w:rPr>
              <w:t>1.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    2.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    3.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4.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   5.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  6.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7.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both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 Ділова гра </w:t>
            </w:r>
            <w:r w:rsidRPr="00913D56">
              <w:rPr>
                <w:sz w:val="28"/>
                <w:szCs w:val="28"/>
              </w:rPr>
              <w:t>«</w:t>
            </w:r>
            <w:proofErr w:type="spellStart"/>
            <w:r w:rsidRPr="00913D56">
              <w:rPr>
                <w:sz w:val="28"/>
                <w:szCs w:val="28"/>
              </w:rPr>
              <w:t>Професійно</w:t>
            </w:r>
            <w:proofErr w:type="spellEnd"/>
            <w:r w:rsidRPr="00913D56">
              <w:rPr>
                <w:sz w:val="28"/>
                <w:szCs w:val="28"/>
              </w:rPr>
              <w:t xml:space="preserve"> проведений урок – шлях до якості знань учнів»</w:t>
            </w:r>
          </w:p>
          <w:p w:rsidR="00913D56" w:rsidRPr="00913D56" w:rsidRDefault="00913D56" w:rsidP="00913D56">
            <w:pPr>
              <w:shd w:val="clear" w:color="auto" w:fill="FFFFFF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shd w:val="clear" w:color="auto" w:fill="FFFFFF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Цифровий калейдоскоп «Електронні освітні ресурси для Нової української школи»</w:t>
            </w:r>
          </w:p>
          <w:p w:rsidR="00913D56" w:rsidRPr="00913D56" w:rsidRDefault="00913D56" w:rsidP="00913D56">
            <w:pPr>
              <w:shd w:val="clear" w:color="auto" w:fill="FFFFFF"/>
              <w:rPr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Майстер-клас </w:t>
            </w:r>
            <w:r w:rsidRPr="00913D56">
              <w:rPr>
                <w:sz w:val="28"/>
                <w:szCs w:val="28"/>
              </w:rPr>
              <w:t>«Ранкові  зустрічі»</w:t>
            </w:r>
          </w:p>
          <w:p w:rsidR="00913D56" w:rsidRPr="00913D56" w:rsidRDefault="00913D56" w:rsidP="00913D56">
            <w:pPr>
              <w:shd w:val="clear" w:color="auto" w:fill="FFFFFF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Як створити середовище НУШ в умовах дистанційної освіти?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Методичні перегуки: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«Обговорення  матеріалів періодичної преси, новини   з  тематики курсів, </w:t>
            </w:r>
            <w:proofErr w:type="spellStart"/>
            <w:r w:rsidRPr="00913D56">
              <w:rPr>
                <w:sz w:val="28"/>
                <w:szCs w:val="28"/>
              </w:rPr>
              <w:t>вебінарів</w:t>
            </w:r>
            <w:proofErr w:type="spellEnd"/>
            <w:r w:rsidRPr="00913D56">
              <w:rPr>
                <w:sz w:val="28"/>
                <w:szCs w:val="28"/>
              </w:rPr>
              <w:t>»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 досвіду роботи «Онлайн платформи  в освітньому просторі»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Організація ефективного і безпечного освітнього середовища.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56" w:rsidRPr="00913D56" w:rsidRDefault="00913D56" w:rsidP="00913D56">
            <w:pPr>
              <w:ind w:right="-142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Грудень </w:t>
            </w: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2023 р.</w:t>
            </w:r>
          </w:p>
        </w:tc>
        <w:tc>
          <w:tcPr>
            <w:tcW w:w="2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both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jc w:val="both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Учитель 1 класу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Учителі 1-4 класів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Заступник директора з НВР,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 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керівник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 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  членам 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методоб’єднання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продовжувати організувати ефективне і безпечне освітнє середовище;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педагогічну пресу, переглянути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вебінари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темою «Освітнє середовище як  головний чинник  розвитку  особистості учня»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посібник «Ранкові зустрічі у НУШ»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вчителям, що  атестуються, підготуватися 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 проведення   творчого  звіт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lastRenderedPageBreak/>
        <w:t>Засідання 4</w:t>
      </w:r>
    </w:p>
    <w:p w:rsidR="00913D56" w:rsidRPr="00913D56" w:rsidRDefault="00913D56" w:rsidP="00913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Тема.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Булінг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у дитячому середовищі .Інноваційні та хмарні технології: доцільність та практичне застосування у освітній діяльності.</w:t>
      </w:r>
    </w:p>
    <w:p w:rsidR="00913D56" w:rsidRPr="00913D56" w:rsidRDefault="00913D56" w:rsidP="00913D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Форма проведення.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Методичний  аукціон</w:t>
      </w:r>
    </w:p>
    <w:p w:rsidR="00913D56" w:rsidRPr="00913D56" w:rsidRDefault="00913D56" w:rsidP="00913D56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Мета.</w:t>
      </w:r>
      <w:r w:rsidRPr="00913D56">
        <w:rPr>
          <w:rFonts w:ascii="Arial" w:eastAsia="Times New Roman" w:hAnsi="Arial" w:cs="Arial"/>
          <w:color w:val="242320"/>
          <w:sz w:val="20"/>
          <w:szCs w:val="20"/>
          <w:shd w:val="clear" w:color="auto" w:fill="FFFFFF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Розширити знання педагогів про </w:t>
      </w:r>
      <w:proofErr w:type="spellStart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913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дитячому середовищі. Обмінятися досвідом роботи з впровадження в освітній</w:t>
      </w:r>
      <w:r w:rsidRPr="0091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процес інноваційних  форм організації навчальної діяльності молодших школярів на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уроках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української мови, критичне мислення молодших школярів на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уроках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української мови. Сприяти розвитку творчої активності педагогів, підвищувати їх теоретичну, методичну, практичну компетентність; удосконалювати  освітній  процес  у  початковій  школі; виховувати інтерес  до  самовдосконалення, пізнання  нового.</w:t>
      </w:r>
    </w:p>
    <w:tbl>
      <w:tblPr>
        <w:tblStyle w:val="d1e5f2eae0f2e0e1ebe8f6fb1"/>
        <w:tblW w:w="10646" w:type="dxa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8"/>
        <w:gridCol w:w="5698"/>
        <w:gridCol w:w="1560"/>
        <w:gridCol w:w="2820"/>
      </w:tblGrid>
      <w:tr w:rsidR="00913D56" w:rsidRPr="00913D56">
        <w:trPr>
          <w:trHeight w:val="387"/>
        </w:trPr>
        <w:tc>
          <w:tcPr>
            <w:tcW w:w="568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698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Зміст  роботи</w:t>
            </w:r>
          </w:p>
        </w:tc>
        <w:tc>
          <w:tcPr>
            <w:tcW w:w="1560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Термін</w:t>
            </w:r>
          </w:p>
        </w:tc>
        <w:tc>
          <w:tcPr>
            <w:tcW w:w="2820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Відповідальні</w:t>
            </w:r>
          </w:p>
          <w:p w:rsidR="00913D56" w:rsidRPr="00913D56" w:rsidRDefault="00913D56" w:rsidP="00913D5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3D56" w:rsidRPr="00913D56">
        <w:trPr>
          <w:trHeight w:val="2819"/>
        </w:trPr>
        <w:tc>
          <w:tcPr>
            <w:tcW w:w="568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1.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 2.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3.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4.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5.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6.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i/>
                <w:iCs/>
                <w:sz w:val="28"/>
                <w:szCs w:val="28"/>
              </w:rPr>
              <w:t>Тренінг</w:t>
            </w:r>
            <w:r w:rsidRPr="00913D56">
              <w:rPr>
                <w:b/>
                <w:bCs/>
                <w:sz w:val="28"/>
                <w:szCs w:val="28"/>
              </w:rPr>
              <w:t> «СТОП – БУЛІНГ: попередження жорстокості та насильства серед дітей».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З досвіду роботи «</w:t>
            </w:r>
            <w:r w:rsidRPr="00913D56">
              <w:rPr>
                <w:sz w:val="28"/>
                <w:szCs w:val="28"/>
              </w:rPr>
              <w:t xml:space="preserve">Онлайн платформи  в освітньому просторі» 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Панорама роздумів </w:t>
            </w:r>
            <w:r w:rsidRPr="00913D56">
              <w:rPr>
                <w:sz w:val="28"/>
                <w:szCs w:val="28"/>
              </w:rPr>
              <w:t>«Інноваційні та хмарні технології: доцільність та практичне застосування у освітній діяльності»</w:t>
            </w: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 Обмін досвідом </w:t>
            </w:r>
            <w:r w:rsidRPr="00913D56">
              <w:rPr>
                <w:sz w:val="28"/>
                <w:szCs w:val="28"/>
              </w:rPr>
              <w:t>«Комікс — онлайн-сервіси для створення яскравих історій для будь-якого уроку»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 xml:space="preserve">Інформаційний лекторій </w:t>
            </w:r>
            <w:r w:rsidRPr="00913D56">
              <w:rPr>
                <w:sz w:val="28"/>
                <w:szCs w:val="28"/>
              </w:rPr>
              <w:t xml:space="preserve">«Формування </w:t>
            </w:r>
            <w:proofErr w:type="spellStart"/>
            <w:r w:rsidRPr="00913D56">
              <w:rPr>
                <w:sz w:val="28"/>
                <w:szCs w:val="28"/>
              </w:rPr>
              <w:t>інфомедійної</w:t>
            </w:r>
            <w:proofErr w:type="spellEnd"/>
            <w:r w:rsidRPr="00913D56">
              <w:rPr>
                <w:sz w:val="28"/>
                <w:szCs w:val="28"/>
              </w:rPr>
              <w:t xml:space="preserve"> грамотності у </w:t>
            </w:r>
            <w:proofErr w:type="spellStart"/>
            <w:r w:rsidRPr="00913D56">
              <w:rPr>
                <w:sz w:val="28"/>
                <w:szCs w:val="28"/>
              </w:rPr>
              <w:t>здобвачів</w:t>
            </w:r>
            <w:proofErr w:type="spellEnd"/>
            <w:r w:rsidRPr="00913D56">
              <w:rPr>
                <w:sz w:val="28"/>
                <w:szCs w:val="28"/>
              </w:rPr>
              <w:t xml:space="preserve"> освіти під час уроків»</w:t>
            </w:r>
          </w:p>
          <w:p w:rsidR="00913D56" w:rsidRPr="00913D56" w:rsidRDefault="00913D56" w:rsidP="00913D56">
            <w:pPr>
              <w:rPr>
                <w:b/>
                <w:bCs/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Творчі звіти вчителів</w:t>
            </w:r>
            <w:r w:rsidRPr="00913D56">
              <w:rPr>
                <w:sz w:val="28"/>
                <w:szCs w:val="28"/>
              </w:rPr>
              <w:t>, які атестується»</w:t>
            </w:r>
          </w:p>
        </w:tc>
        <w:tc>
          <w:tcPr>
            <w:tcW w:w="1560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ind w:right="-142"/>
              <w:rPr>
                <w:b/>
                <w:bCs/>
                <w:sz w:val="28"/>
                <w:szCs w:val="28"/>
              </w:rPr>
            </w:pPr>
            <w:r w:rsidRPr="00913D56">
              <w:rPr>
                <w:b/>
                <w:bCs/>
                <w:sz w:val="28"/>
                <w:szCs w:val="28"/>
              </w:rPr>
              <w:t>Березень 2024 р.</w:t>
            </w:r>
          </w:p>
        </w:tc>
        <w:tc>
          <w:tcPr>
            <w:tcW w:w="2820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Психолог закладу освіти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 xml:space="preserve">Члени </w:t>
            </w:r>
            <w:proofErr w:type="spellStart"/>
            <w:r w:rsidRPr="00913D56">
              <w:rPr>
                <w:sz w:val="28"/>
                <w:szCs w:val="28"/>
              </w:rPr>
              <w:t>мо</w:t>
            </w:r>
            <w:proofErr w:type="spellEnd"/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Керівник МО</w:t>
            </w:r>
          </w:p>
          <w:p w:rsidR="00913D56" w:rsidRPr="00913D56" w:rsidRDefault="00913D56" w:rsidP="00913D56">
            <w:pPr>
              <w:jc w:val="center"/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ab/>
            </w: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Члени МО</w:t>
            </w: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Члени МО</w:t>
            </w: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</w:p>
          <w:p w:rsidR="00913D56" w:rsidRPr="00913D56" w:rsidRDefault="00913D56" w:rsidP="00913D56">
            <w:pPr>
              <w:tabs>
                <w:tab w:val="left" w:pos="928"/>
              </w:tabs>
              <w:rPr>
                <w:sz w:val="28"/>
                <w:szCs w:val="28"/>
              </w:rPr>
            </w:pPr>
            <w:r w:rsidRPr="00913D56">
              <w:rPr>
                <w:sz w:val="28"/>
                <w:szCs w:val="28"/>
              </w:rPr>
              <w:t>Вчителі, що атестуються</w:t>
            </w: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Завдання   членам 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методоб’єднання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913D56" w:rsidRPr="00913D56" w:rsidRDefault="00913D56" w:rsidP="00913D56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- - взяти до уваги статтю «Інноваційні та хмарні технології: доцільність та практичне застосування у освітній діяльності»;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13D56">
        <w:rPr>
          <w:rFonts w:ascii="Arial" w:eastAsia="Times New Roman" w:hAnsi="Arial" w:cs="Arial"/>
          <w:color w:val="676662"/>
          <w:sz w:val="20"/>
          <w:szCs w:val="20"/>
          <w:lang w:eastAsia="uk-UA"/>
        </w:rPr>
        <w:t xml:space="preserve">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опрацювати методичну літературу на тему «Диференціація на сучасному </w:t>
      </w:r>
      <w:proofErr w:type="spellStart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підготувати звіт «Досягнення та результати здобувачів освіти 1- 4 класів »;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підготувати ідеї до перспективного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лану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наступний рік.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Засідання 5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75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Тема.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Підсумок роботи методичного об’єднання за рік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75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Форма проведення. 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Методичний  марафон</w:t>
      </w:r>
    </w:p>
    <w:p w:rsidR="00913D56" w:rsidRPr="00913D56" w:rsidRDefault="00913D56" w:rsidP="00913D56">
      <w:pPr>
        <w:autoSpaceDE w:val="0"/>
        <w:autoSpaceDN w:val="0"/>
        <w:adjustRightInd w:val="0"/>
        <w:spacing w:after="240" w:line="275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Мета.</w:t>
      </w: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  Підвести підсумки роботи методичного об’єднання вчителі початкових  класів за 2023-2024  навчальний рік, заслухати звіти вчителів про самоосвіту, творчі освітянські знахідки, скласти перспективний план роботи м/о на наступний навчальний рік.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50"/>
        <w:gridCol w:w="2571"/>
        <w:gridCol w:w="2218"/>
      </w:tblGrid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Термін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Відповідальні</w:t>
            </w:r>
          </w:p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Підведення  підсумків роботи методичного об’єднання вчителів початкових класів за 2023-2024 навчальний рік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Травень 2024 р.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Керівник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 учителів «Досягнення та результати здобувачів освіти»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Панорама ідей. Складання перспективного плану роботи  методичного об’єднання вчителів початкових класів на 2024-2025 навчальний рік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</w:t>
            </w:r>
            <w:proofErr w:type="spellEnd"/>
          </w:p>
        </w:tc>
      </w:tr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порядок закінчення навчального року.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</w:t>
            </w:r>
            <w:bookmarkStart w:id="0" w:name="_GoBack"/>
            <w:bookmarkEnd w:id="0"/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ик директора з НВР</w:t>
            </w:r>
          </w:p>
        </w:tc>
      </w:tr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результатів анкетування учнів 4 класу щодо готовності  до навчання у середній  ланці                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 школи </w:t>
            </w:r>
          </w:p>
        </w:tc>
      </w:tr>
      <w:tr w:rsidR="00913D56" w:rsidRPr="00913D56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результатів та участі здобувачів освіти  у шкільних, Всеукраїнських та  Міжнародних конкурсах та інтернет-олімпіадах.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D56" w:rsidRPr="00913D56" w:rsidRDefault="00913D56" w:rsidP="00913D56">
            <w:pPr>
              <w:autoSpaceDE w:val="0"/>
              <w:autoSpaceDN w:val="0"/>
              <w:adjustRightInd w:val="0"/>
              <w:spacing w:before="100" w:beforeAutospacing="1" w:after="100" w:afterAutospacing="1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3D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з НВР</w:t>
            </w:r>
          </w:p>
        </w:tc>
      </w:tr>
    </w:tbl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  членам  </w:t>
      </w:r>
      <w:proofErr w:type="spellStart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методоб’єднання</w:t>
      </w:r>
      <w:proofErr w:type="spellEnd"/>
      <w:r w:rsidRPr="00913D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систематично працювати над вдосконаленням методичної роботи з питань 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  професійної  майстерності;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продумати оформлення освітнього середовища на новий навчальний рік;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слідкувати за новинками методичної літератури;</w:t>
      </w:r>
    </w:p>
    <w:p w:rsidR="00913D56" w:rsidRPr="00913D56" w:rsidRDefault="00913D56" w:rsidP="00913D5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займатися самоосвітою.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13D56">
        <w:rPr>
          <w:rFonts w:ascii="Times New Roman" w:eastAsia="Times New Roman" w:hAnsi="Times New Roman" w:cs="Times New Roman"/>
          <w:color w:val="525252"/>
          <w:sz w:val="28"/>
          <w:szCs w:val="28"/>
          <w:lang w:eastAsia="uk-UA"/>
        </w:rPr>
        <w:t xml:space="preserve">         </w:t>
      </w:r>
      <w:r w:rsidRPr="00913D56">
        <w:rPr>
          <w:rFonts w:ascii="Times New Roman" w:eastAsia="Times New Roman" w:hAnsi="Times New Roman" w:cs="Times New Roman"/>
          <w:b/>
          <w:bCs/>
          <w:color w:val="525252"/>
          <w:sz w:val="32"/>
          <w:szCs w:val="32"/>
          <w:lang w:eastAsia="uk-UA"/>
        </w:rPr>
        <w:t xml:space="preserve">                           Робота між засіданнями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1.Укладання календарно-тематичних та виховних планів.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2.Вивчення вимог до ведення шкільної документації. Взаємоперевірка стану ведення учнівських зошитів, щоденників.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3.Організація взаємного відвідування уроків вчителями з метою обміну досвідом роботи, вивчення стану викладання та рівня знань, умінь та навичок з математики.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4.Проведення відкритих уроків, заходів.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5.Вдосконалення методичної роботи з питань підвищення професійної майстерності.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>6.Організація індивідуальної роботи з обдарованими дітьми.</w:t>
      </w: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tabs>
          <w:tab w:val="left" w:pos="33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tabs>
          <w:tab w:val="left" w:pos="2368"/>
        </w:tabs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D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13D56" w:rsidRPr="00913D56" w:rsidRDefault="00913D56" w:rsidP="00913D56">
      <w:pPr>
        <w:tabs>
          <w:tab w:val="left" w:pos="2368"/>
        </w:tabs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913D56" w:rsidRPr="00913D56" w:rsidRDefault="00913D56" w:rsidP="0091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3C52" w:rsidRDefault="00303C52"/>
    <w:sectPr w:rsidR="00303C52" w:rsidSect="009D4F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6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7B3B"/>
    <w:multiLevelType w:val="hybridMultilevel"/>
    <w:tmpl w:val="FFFFFFFF"/>
    <w:lvl w:ilvl="0" w:tplc="C5828B72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75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95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035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755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95" w:hanging="360"/>
      </w:pPr>
      <w:rPr>
        <w:rFonts w:ascii="Wingdings" w:hAnsi="Wingdings" w:cs="Wingdings"/>
      </w:rPr>
    </w:lvl>
  </w:abstractNum>
  <w:abstractNum w:abstractNumId="2">
    <w:nsid w:val="5B4B0B8D"/>
    <w:multiLevelType w:val="hybridMultilevel"/>
    <w:tmpl w:val="FFFFFFFF"/>
    <w:lvl w:ilvl="0" w:tplc="914A53C4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 w:tplc="04220005">
      <w:start w:val="1"/>
      <w:numFmt w:val="bullet"/>
      <w:lvlText w:val="§"/>
      <w:lvlJc w:val="left"/>
      <w:pPr>
        <w:ind w:left="1941" w:hanging="360"/>
      </w:pPr>
      <w:rPr>
        <w:rFonts w:ascii="Wingdings" w:hAnsi="Wingdings" w:cs="Wingdings"/>
      </w:rPr>
    </w:lvl>
    <w:lvl w:ilvl="3" w:tplc="04220001">
      <w:start w:val="1"/>
      <w:numFmt w:val="bullet"/>
      <w:lvlText w:val="·"/>
      <w:lvlJc w:val="left"/>
      <w:pPr>
        <w:ind w:left="2661" w:hanging="360"/>
      </w:pPr>
      <w:rPr>
        <w:rFonts w:ascii="Symbol" w:hAnsi="Symbol" w:cs="Symbol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 w:tplc="04220005">
      <w:start w:val="1"/>
      <w:numFmt w:val="bullet"/>
      <w:lvlText w:val="§"/>
      <w:lvlJc w:val="left"/>
      <w:pPr>
        <w:ind w:left="4101" w:hanging="360"/>
      </w:pPr>
      <w:rPr>
        <w:rFonts w:ascii="Wingdings" w:hAnsi="Wingdings" w:cs="Wingdings"/>
      </w:rPr>
    </w:lvl>
    <w:lvl w:ilvl="6" w:tplc="04220001">
      <w:start w:val="1"/>
      <w:numFmt w:val="bullet"/>
      <w:lvlText w:val="·"/>
      <w:lvlJc w:val="left"/>
      <w:pPr>
        <w:ind w:left="4821" w:hanging="360"/>
      </w:pPr>
      <w:rPr>
        <w:rFonts w:ascii="Symbol" w:hAnsi="Symbol" w:cs="Symbol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 w:tplc="04220005">
      <w:start w:val="1"/>
      <w:numFmt w:val="bullet"/>
      <w:lvlText w:val="§"/>
      <w:lvlJc w:val="left"/>
      <w:pPr>
        <w:ind w:left="6261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6"/>
    <w:rsid w:val="00303C52"/>
    <w:rsid w:val="009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913D56"/>
  </w:style>
  <w:style w:type="paragraph" w:styleId="a3">
    <w:name w:val="List Paragraph"/>
    <w:basedOn w:val="a"/>
    <w:uiPriority w:val="99"/>
    <w:qFormat/>
    <w:rsid w:val="00913D5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Normal (Web)"/>
    <w:basedOn w:val="a"/>
    <w:uiPriority w:val="99"/>
    <w:rsid w:val="00913D56"/>
    <w:pPr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line number"/>
    <w:basedOn w:val="a0"/>
    <w:uiPriority w:val="99"/>
    <w:rsid w:val="00913D56"/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913D56"/>
    <w:rPr>
      <w:rFonts w:ascii="Times New Roman" w:hAnsi="Times New Roman"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913D56"/>
    <w:rPr>
      <w:i/>
      <w:iCs/>
      <w:sz w:val="22"/>
      <w:szCs w:val="22"/>
    </w:rPr>
  </w:style>
  <w:style w:type="table" w:styleId="10">
    <w:name w:val="Table Simple 1"/>
    <w:basedOn w:val="a1"/>
    <w:uiPriority w:val="99"/>
    <w:rsid w:val="00913D56"/>
    <w:pPr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d1e5f2eae0f2e0e1ebe8f6fb1">
    <w:name w:val="Сd1еe5тf2кeaаe0 тf2аe0бe1лebиe8цf6ыfb1"/>
    <w:basedOn w:val="a1"/>
    <w:uiPriority w:val="99"/>
    <w:rsid w:val="00913D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913D56"/>
  </w:style>
  <w:style w:type="paragraph" w:styleId="a3">
    <w:name w:val="List Paragraph"/>
    <w:basedOn w:val="a"/>
    <w:uiPriority w:val="99"/>
    <w:qFormat/>
    <w:rsid w:val="00913D5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Normal (Web)"/>
    <w:basedOn w:val="a"/>
    <w:uiPriority w:val="99"/>
    <w:rsid w:val="00913D56"/>
    <w:pPr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line number"/>
    <w:basedOn w:val="a0"/>
    <w:uiPriority w:val="99"/>
    <w:rsid w:val="00913D56"/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913D56"/>
    <w:rPr>
      <w:rFonts w:ascii="Times New Roman" w:hAnsi="Times New Roman"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913D56"/>
    <w:rPr>
      <w:i/>
      <w:iCs/>
      <w:sz w:val="22"/>
      <w:szCs w:val="22"/>
    </w:rPr>
  </w:style>
  <w:style w:type="table" w:styleId="10">
    <w:name w:val="Table Simple 1"/>
    <w:basedOn w:val="a1"/>
    <w:uiPriority w:val="99"/>
    <w:rsid w:val="00913D56"/>
    <w:pPr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d1e5f2eae0f2e0e1ebe8f6fb1">
    <w:name w:val="Сd1еe5тf2кeaаe0 тf2аe0бe1лebиe8цf6ыfb1"/>
    <w:basedOn w:val="a1"/>
    <w:uiPriority w:val="99"/>
    <w:rsid w:val="00913D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up.org.ua/novyny/z-chitkymy-oriyentyramy-stalogo-uspihu-akademichna-dobrochesnist-yak-zaporuka-yakisnoyi-osvi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aiup.org.ua/novyny/z-chitkymy-oriyentyramy-stalogo-uspihu-akademichna-dobrochesnist-yak-zaporuka-yakisnoyi-osv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31.kirovedu.com/uk/site/samootsiniuvannya-vzaemoo.html" TargetMode="External"/><Relationship Id="rId11" Type="http://schemas.openxmlformats.org/officeDocument/2006/relationships/hyperlink" Target="https://docs.google.com/presentation/d/1yMWUi-JlzMwGsqOjL8U20P5xyicxABpb/edit?usp=sharing&amp;ouid=102963207955375826549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Nc1piFzfl4FBUdz4DCliWWdqQe5-xeZ_/edit?usp=sharing&amp;ouid=10296320795537582654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nova-ukrayinska-shkola/ocinyuvannya/vidpovidi-na-poshireni-zapitannya-shodo-svidoctva-dosyagnen-uchniv-novoyi-ukrayinskoyi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17131</Words>
  <Characters>9766</Characters>
  <Application>Microsoft Office Word</Application>
  <DocSecurity>0</DocSecurity>
  <Lines>81</Lines>
  <Paragraphs>53</Paragraphs>
  <ScaleCrop>false</ScaleCrop>
  <Company>diakov.net</Company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2023-09-28T10:18:00Z</dcterms:created>
  <dcterms:modified xsi:type="dcterms:W3CDTF">2023-09-28T10:22:00Z</dcterms:modified>
</cp:coreProperties>
</file>